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P&amp;G impulsa e invita a las mujeres líderes del futuro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alianza con Vital Voices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21 de abril de 2023.- Desde su llegada a México hace 75 años, P&amp;G ha sido una compañía comprometida con la equidad de género y con la creación de un mundo sin prejuicios, con voz y representación de la mujer en la toma de decisiones.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Bajo ese enfoque, </w:t>
      </w:r>
      <w:r w:rsidDel="00000000" w:rsidR="00000000" w:rsidRPr="00000000">
        <w:rPr>
          <w:rtl w:val="0"/>
        </w:rPr>
        <w:t xml:space="preserve">P&amp;G se alió con</w:t>
      </w:r>
      <w:r w:rsidDel="00000000" w:rsidR="00000000" w:rsidRPr="00000000">
        <w:rPr>
          <w:rtl w:val="0"/>
        </w:rPr>
        <w:t xml:space="preserve"> </w:t>
      </w:r>
      <w:r w:rsidDel="00000000" w:rsidR="00000000" w:rsidRPr="00000000">
        <w:rPr>
          <w:i w:val="1"/>
          <w:rtl w:val="0"/>
        </w:rPr>
        <w:t xml:space="preserve">‘Vital Voices’ Voices that Inspire Fellowship</w:t>
      </w:r>
      <w:r w:rsidDel="00000000" w:rsidR="00000000" w:rsidRPr="00000000">
        <w:rPr>
          <w:rtl w:val="0"/>
        </w:rPr>
        <w:t xml:space="preserve"> para apoyar a las  jóvenes mujeres emergentes que están impactando positivamente en diversas partes del mundo como Argentina, Brasil, </w:t>
      </w:r>
      <w:r w:rsidDel="00000000" w:rsidR="00000000" w:rsidRPr="00000000">
        <w:rPr>
          <w:rtl w:val="0"/>
        </w:rPr>
        <w:t xml:space="preserve">Chile, Colombia, </w:t>
      </w:r>
      <w:r w:rsidDel="00000000" w:rsidR="00000000" w:rsidRPr="00000000">
        <w:rPr>
          <w:rtl w:val="0"/>
        </w:rPr>
        <w:t xml:space="preserve">Costa Rica, Guatemala, México, Panamá y Perú. El objetivo de este Programa es aumentar las oportunidades de crecimiento, la capacidad de liderazgo, el networking y recursos de estas jóvenes mujeres.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highlight w:val="yellow"/>
        </w:rPr>
      </w:pPr>
      <w:r w:rsidDel="00000000" w:rsidR="00000000" w:rsidRPr="00000000">
        <w:rPr>
          <w:rtl w:val="0"/>
        </w:rPr>
        <w:t xml:space="preserve">A través del programa l</w:t>
      </w:r>
      <w:r w:rsidDel="00000000" w:rsidR="00000000" w:rsidRPr="00000000">
        <w:rPr>
          <w:rtl w:val="0"/>
        </w:rPr>
        <w:t xml:space="preserve">as participantes podrán recibir un entrenamiento en liderazgo, tutoría personalizada y oportunidades de hacer contactos profesionales que les permitan sentar las bases de su empoderamiento y sobre todo, expandir sus proyectos sostenibles para que tengan un impacto positivo en sus comunidades.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Vital Voices es una organización que realiza inversiones en todo el mundo y que ha impactado positivamente a más de 3 millones de mujeres desde su fundación, en 1997. De la mano de esta organización, P&amp;G refuerza su compromiso con las mujeres y las alienta a continuar esforzándose por el bien de ellas y de sus comunidades.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i w:val="1"/>
          <w:highlight w:val="yellow"/>
        </w:rPr>
      </w:pPr>
      <w:r w:rsidDel="00000000" w:rsidR="00000000" w:rsidRPr="00000000">
        <w:rPr>
          <w:i w:val="1"/>
          <w:rtl w:val="0"/>
        </w:rPr>
        <w:t xml:space="preserve">“En P&amp;G reconocemos el papel tan importante que juega la mujer en la sociedad y por ello, trabajamos diariamente para impulsar iniciativas que permitan aportar a su desarrollo y crecimiento, sobre todo, acciones que las empoderen en el ámbito empresarial. Sabemos que existe mucho por hacer en estos temas, pero la alianza que tenemos hoy con Vital Voices refleja ese compromiso que tenemos para seguir apoyando a las mujeres líderes que buscan ser una fuerza para el crecimiento y para el bien de sus comunidades”. </w:t>
      </w:r>
      <w:r w:rsidDel="00000000" w:rsidR="00000000" w:rsidRPr="00000000">
        <w:rPr>
          <w:rtl w:val="0"/>
        </w:rPr>
        <w:t xml:space="preserve">señaló </w:t>
      </w:r>
      <w:r w:rsidDel="00000000" w:rsidR="00000000" w:rsidRPr="00000000">
        <w:rPr>
          <w:rtl w:val="0"/>
        </w:rPr>
        <w:t xml:space="preserve">Ana Paula González, directora de comunicaciones de P&amp;G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Estos esfuerzos no son aislados, P&amp;G ha destacado como una empres comprometida con la equidad y la inclusión dentro de sus pilares clave de ciudadanía corporativa, </w:t>
      </w:r>
      <w:hyperlink r:id="rId6">
        <w:r w:rsidDel="00000000" w:rsidR="00000000" w:rsidRPr="00000000">
          <w:rPr>
            <w:color w:val="1155cc"/>
            <w:u w:val="single"/>
            <w:rtl w:val="0"/>
          </w:rPr>
          <w:t xml:space="preserve">P&amp;G </w:t>
        </w:r>
      </w:hyperlink>
      <w:r w:rsidDel="00000000" w:rsidR="00000000" w:rsidRPr="00000000">
        <w:rPr>
          <w:rtl w:val="0"/>
        </w:rPr>
        <w:t xml:space="preserve">ha realizado acciones en favor del empoderamiento femenino como la inversión de más de USD $1,100 millones en empresas que pertenecen a mujeres en todo el mundo, así como la asociación con WEConnect International, el Women’s Business Enterprise National Council y UN Women en 14 países para brindar capacitación a mujeres emprendedoras.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Otro ejemplo es lo realizado con la marca Ariel en la India, en donde el 70% de los niños creen que es responsabilidad exclusiva de la mujer la actividad del lavado de ropa; gracias a una campaña por erradicar ese sesgo de género, ese porcentaje disminuyó a 52%.</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un mundo en el que cerca del 40% de las mujeres sienten que son retratadas de manera inexacta a través de estereotipos, objetivación o carácter disminuido, es importante que empresas como P&amp;G, que figura como uno de los mayores anunciantes del mundo, aproveche su voz y alcance para ayudar a abordar la problemática de género que limita a tantas mujeres en el mundo al querer alcanzar sus sueños.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Ingresa </w:t>
      </w:r>
      <w:hyperlink r:id="rId7">
        <w:r w:rsidDel="00000000" w:rsidR="00000000" w:rsidRPr="00000000">
          <w:rPr>
            <w:color w:val="1155cc"/>
            <w:u w:val="single"/>
            <w:rtl w:val="0"/>
          </w:rPr>
          <w:t xml:space="preserve">aquí</w:t>
        </w:r>
      </w:hyperlink>
      <w:r w:rsidDel="00000000" w:rsidR="00000000" w:rsidRPr="00000000">
        <w:rPr>
          <w:rtl w:val="0"/>
        </w:rPr>
        <w:t xml:space="preserve"> para </w:t>
      </w:r>
      <w:r w:rsidDel="00000000" w:rsidR="00000000" w:rsidRPr="00000000">
        <w:rPr>
          <w:rtl w:val="0"/>
        </w:rPr>
        <w:t xml:space="preserve">aplicar al programa 2023. ¡Es tu turno de impactar y ser el cambio positivo que tu comunidad está esperando!</w:t>
      </w:r>
    </w:p>
    <w:p w:rsidR="00000000" w:rsidDel="00000000" w:rsidP="00000000" w:rsidRDefault="00000000" w:rsidRPr="00000000" w14:paraId="00000015">
      <w:pPr>
        <w:spacing w:after="160" w:line="259" w:lineRule="auto"/>
        <w:jc w:val="both"/>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b w:val="1"/>
          <w:rtl w:val="0"/>
        </w:rPr>
        <w:t xml:space="preserve">Acerca de Procter &amp; Gamble </w:t>
      </w:r>
    </w:p>
    <w:p w:rsidR="00000000" w:rsidDel="00000000" w:rsidP="00000000" w:rsidRDefault="00000000" w:rsidRPr="00000000" w14:paraId="00000018">
      <w:pPr>
        <w:spacing w:line="240" w:lineRule="auto"/>
        <w:jc w:val="both"/>
        <w:rPr>
          <w:b w:val="1"/>
        </w:rPr>
      </w:pPr>
      <w:r w:rsidDel="00000000" w:rsidR="00000000" w:rsidRPr="00000000">
        <w:rPr>
          <w:b w:val="1"/>
          <w:rtl w:val="0"/>
        </w:rPr>
        <w:t xml:space="preserve"> </w:t>
      </w:r>
    </w:p>
    <w:p w:rsidR="00000000" w:rsidDel="00000000" w:rsidP="00000000" w:rsidRDefault="00000000" w:rsidRPr="00000000" w14:paraId="00000019">
      <w:pPr>
        <w:spacing w:line="240" w:lineRule="auto"/>
        <w:jc w:val="both"/>
        <w:rPr>
          <w:b w:val="1"/>
          <w:color w:val="1155cc"/>
          <w:u w:val="single"/>
        </w:rPr>
      </w:pPr>
      <w:r w:rsidDel="00000000" w:rsidR="00000000" w:rsidRPr="00000000">
        <w:rPr>
          <w:rtl w:val="0"/>
        </w:rPr>
        <w:t xml:space="preserve">P&amp;G sirve a consumidores alrededor del mundo con unos de los portafolios de marcas líderes más fuertes y de mayor confianza incluyendo Ace®, Always®, Ariel®, Dolo-Neurobión®, Downy®, Gillette®, Head &amp; Shoulders®, Herbal Essences®, Naturella®, Old-Spice®, Oral-B®, Pantene®, Pepto-Bismol®, Salvo®, Secret®, Sedalmerk® y Vick®, entre otras. La comunidad P&amp;G incluye operaciones en aproximadamente 70 países alrededor del mundo. Por favor visita </w:t>
      </w:r>
      <w:hyperlink r:id="rId8">
        <w:r w:rsidDel="00000000" w:rsidR="00000000" w:rsidRPr="00000000">
          <w:rPr>
            <w:color w:val="0000ff"/>
            <w:u w:val="single"/>
            <w:rtl w:val="0"/>
          </w:rPr>
          <w:t xml:space="preserve">www.pg.com</w:t>
        </w:r>
      </w:hyperlink>
      <w:r w:rsidDel="00000000" w:rsidR="00000000" w:rsidRPr="00000000">
        <w:rPr>
          <w:rtl w:val="0"/>
        </w:rPr>
        <w:t xml:space="preserve"> para las últimas novedades e información sobre P&amp;G y sus marcas. Para otras noticias, visítanos en </w:t>
      </w:r>
      <w:hyperlink r:id="rId9">
        <w:r w:rsidDel="00000000" w:rsidR="00000000" w:rsidRPr="00000000">
          <w:rPr>
            <w:color w:val="0000ff"/>
            <w:u w:val="single"/>
            <w:rtl w:val="0"/>
          </w:rPr>
          <w:t xml:space="preserve">https://www.pg.com/news </w:t>
        </w:r>
      </w:hyperlink>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Elena Aranda                       </w:t>
      </w:r>
    </w:p>
    <w:p w:rsidR="00000000" w:rsidDel="00000000" w:rsidP="00000000" w:rsidRDefault="00000000" w:rsidRPr="00000000" w14:paraId="0000001E">
      <w:pPr>
        <w:spacing w:line="240" w:lineRule="auto"/>
        <w:jc w:val="both"/>
        <w:rPr/>
      </w:pPr>
      <w:r w:rsidDel="00000000" w:rsidR="00000000" w:rsidRPr="00000000">
        <w:rPr>
          <w:rtl w:val="0"/>
        </w:rPr>
        <w:t xml:space="preserve">elena</w:t>
      </w:r>
      <w:hyperlink r:id="rId10">
        <w:r w:rsidDel="00000000" w:rsidR="00000000" w:rsidRPr="00000000">
          <w:rPr>
            <w:color w:val="1155cc"/>
            <w:u w:val="single"/>
            <w:rtl w:val="0"/>
          </w:rPr>
          <w:t xml:space="preserve">.aranda@another.co</w:t>
        </w:r>
      </w:hyperlink>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55 7903 4323</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Tanya Belmont</w:t>
      </w:r>
    </w:p>
    <w:p w:rsidR="00000000" w:rsidDel="00000000" w:rsidP="00000000" w:rsidRDefault="00000000" w:rsidRPr="00000000" w14:paraId="00000022">
      <w:pPr>
        <w:spacing w:line="240" w:lineRule="auto"/>
        <w:jc w:val="both"/>
        <w:rPr/>
      </w:pPr>
      <w:r w:rsidDel="00000000" w:rsidR="00000000" w:rsidRPr="00000000">
        <w:rPr>
          <w:rtl w:val="0"/>
        </w:rPr>
        <w:t xml:space="preserve">tanya.belmont</w:t>
      </w:r>
      <w:hyperlink r:id="rId11">
        <w:r w:rsidDel="00000000" w:rsidR="00000000" w:rsidRPr="00000000">
          <w:rPr>
            <w:color w:val="1155cc"/>
            <w:u w:val="single"/>
            <w:rtl w:val="0"/>
          </w:rPr>
          <w:t xml:space="preserve">@another.co</w:t>
        </w:r>
      </w:hyperlink>
      <w:r w:rsidDel="00000000" w:rsidR="00000000" w:rsidRPr="00000000">
        <w:rPr>
          <w:rtl w:val="0"/>
        </w:rPr>
      </w:r>
    </w:p>
    <w:p w:rsidR="00000000" w:rsidDel="00000000" w:rsidP="00000000" w:rsidRDefault="00000000" w:rsidRPr="00000000" w14:paraId="00000023">
      <w:pPr>
        <w:spacing w:line="240" w:lineRule="auto"/>
        <w:jc w:val="both"/>
        <w:rPr>
          <w:b w:val="1"/>
        </w:rPr>
      </w:pPr>
      <w:r w:rsidDel="00000000" w:rsidR="00000000" w:rsidRPr="00000000">
        <w:rPr>
          <w:rtl w:val="0"/>
        </w:rPr>
        <w:t xml:space="preserve">55 6211 9370</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anchor allowOverlap="1" behindDoc="0" distB="0" distT="0" distL="114300" distR="114300" hidden="0" layoutInCell="1" locked="0" relativeHeight="0" simplePos="0">
          <wp:simplePos x="0" y="0"/>
          <wp:positionH relativeFrom="page">
            <wp:posOffset>6124575</wp:posOffset>
          </wp:positionH>
          <wp:positionV relativeFrom="page">
            <wp:posOffset>95250</wp:posOffset>
          </wp:positionV>
          <wp:extent cx="640080" cy="640080"/>
          <wp:effectExtent b="0" l="0" r="0" t="0"/>
          <wp:wrapSquare wrapText="bothSides" distB="0" distT="0" distL="114300" distR="114300"/>
          <wp:docPr descr="PG_Logo_FB.jpg" id="1" name="image1.jpg"/>
          <a:graphic>
            <a:graphicData uri="http://schemas.openxmlformats.org/drawingml/2006/picture">
              <pic:pic>
                <pic:nvPicPr>
                  <pic:cNvPr descr="PG_Logo_FB.jpg" id="0" name="image1.jpg"/>
                  <pic:cNvPicPr preferRelativeResize="0"/>
                </pic:nvPicPr>
                <pic:blipFill>
                  <a:blip r:embed="rId1"/>
                  <a:srcRect b="0" l="0" r="0" t="0"/>
                  <a:stretch>
                    <a:fillRect/>
                  </a:stretch>
                </pic:blipFill>
                <pic:spPr>
                  <a:xfrm>
                    <a:off x="0" y="0"/>
                    <a:ext cx="640080" cy="6400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abriela.monroy@another.co" TargetMode="External"/><Relationship Id="rId10" Type="http://schemas.openxmlformats.org/officeDocument/2006/relationships/hyperlink" Target="mailto:andrea.gonzalez@another.co" TargetMode="External"/><Relationship Id="rId12" Type="http://schemas.openxmlformats.org/officeDocument/2006/relationships/header" Target="header1.xml"/><Relationship Id="rId9" Type="http://schemas.openxmlformats.org/officeDocument/2006/relationships/hyperlink" Target="https://www.pg.com/news" TargetMode="External"/><Relationship Id="rId5" Type="http://schemas.openxmlformats.org/officeDocument/2006/relationships/styles" Target="styles.xml"/><Relationship Id="rId6" Type="http://schemas.openxmlformats.org/officeDocument/2006/relationships/hyperlink" Target="https://latam.pg.com/equidad-de-genero/" TargetMode="External"/><Relationship Id="rId7" Type="http://schemas.openxmlformats.org/officeDocument/2006/relationships/hyperlink" Target="https://www.vitalvoices.org/program/voices-that-inspire-en-espanol/" TargetMode="External"/><Relationship Id="rId8" Type="http://schemas.openxmlformats.org/officeDocument/2006/relationships/hyperlink" Target="http://www.p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